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76556A" w:rsidRPr="0076556A" w:rsidTr="0076556A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 xml:space="preserve">PROJETO DE PESQUISA: </w:t>
            </w:r>
            <w:r w:rsidRPr="0076556A">
              <w:rPr>
                <w:rFonts w:ascii="Verdana" w:hAnsi="Verdana" w:cs="Times New Roman"/>
                <w:sz w:val="20"/>
                <w:szCs w:val="20"/>
                <w:lang w:val="en-US"/>
              </w:rPr>
              <w:t>Solar Flare THz Measurements from Space: Phase I</w:t>
            </w:r>
          </w:p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556A" w:rsidRPr="0076556A" w:rsidTr="0076556A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556A" w:rsidRPr="0076556A" w:rsidTr="0076556A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Cs/>
                <w:sz w:val="20"/>
                <w:szCs w:val="20"/>
              </w:rPr>
              <w:t xml:space="preserve">Pierre </w:t>
            </w:r>
            <w:proofErr w:type="spellStart"/>
            <w:r w:rsidRPr="0076556A">
              <w:rPr>
                <w:rFonts w:ascii="Verdana" w:eastAsia="DejaVu Sans" w:hAnsi="Verdana" w:cs="DejaVu Sans Mono"/>
                <w:bCs/>
                <w:sz w:val="20"/>
                <w:szCs w:val="20"/>
              </w:rPr>
              <w:t>Kaufmann</w:t>
            </w:r>
            <w:proofErr w:type="spellEnd"/>
          </w:p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556A" w:rsidRPr="0076556A" w:rsidTr="0076556A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222651" w:rsidP="0076556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imes New Roman"/>
                <w:bCs/>
                <w:sz w:val="20"/>
                <w:szCs w:val="20"/>
              </w:rPr>
              <w:t>2012</w:t>
            </w:r>
          </w:p>
        </w:tc>
      </w:tr>
      <w:tr w:rsidR="0076556A" w:rsidRPr="0076556A" w:rsidTr="0076556A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 xml:space="preserve">Em andamento / concluído em </w:t>
            </w:r>
            <w:r w:rsidR="00222651">
              <w:rPr>
                <w:rFonts w:ascii="Verdana" w:hAnsi="Verdana" w:cs="Times New Roman"/>
                <w:bCs/>
                <w:sz w:val="20"/>
                <w:szCs w:val="20"/>
              </w:rPr>
              <w:t>12</w:t>
            </w:r>
            <w:r w:rsidRPr="0076556A">
              <w:rPr>
                <w:rFonts w:ascii="Verdana" w:hAnsi="Verdana" w:cs="Times New Roman"/>
                <w:bCs/>
                <w:sz w:val="20"/>
                <w:szCs w:val="20"/>
              </w:rPr>
              <w:t>/2013</w:t>
            </w:r>
          </w:p>
        </w:tc>
      </w:tr>
      <w:tr w:rsidR="0076556A" w:rsidRPr="0076556A" w:rsidTr="0076556A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spacing w:after="20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FAPESP</w:t>
            </w:r>
          </w:p>
        </w:tc>
      </w:tr>
      <w:tr w:rsidR="0076556A" w:rsidRPr="0076556A" w:rsidTr="0076556A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 xml:space="preserve"> Auxílio</w:t>
            </w:r>
            <w:bookmarkStart w:id="0" w:name="_GoBack"/>
            <w:bookmarkEnd w:id="0"/>
          </w:p>
        </w:tc>
      </w:tr>
      <w:tr w:rsidR="0076556A" w:rsidRPr="0076556A" w:rsidTr="0076556A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Verdana" w:eastAsia="DejaVu Sans" w:hAnsi="Verdana" w:cs="Times New Roman"/>
              </w:rPr>
            </w:pPr>
            <w:r w:rsidRPr="0076556A">
              <w:rPr>
                <w:rFonts w:ascii="Verdana" w:eastAsia="DejaVu Sans" w:hAnsi="Verdana" w:cs="Arial"/>
                <w:sz w:val="20"/>
                <w:szCs w:val="20"/>
              </w:rPr>
              <w:t>Descrição:</w:t>
            </w:r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Uma nova componente espectral de emissão de explosões solares foi encontrada mostrando fluxos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sub-THz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crescentes com a frequência, separados no espectro da componente bem conhecida em micro-ondas, trazendo sérias restrições para a interpretação do fenômeno explosivo solar. Esta componente pode ser a evidência de emissão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síncrotron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de elétrons de alta energia, maximizando em frequências situadas no infravermelho distante. É portanto essencial </w:t>
            </w:r>
            <w:proofErr w:type="gram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conhecer  o</w:t>
            </w:r>
            <w:proofErr w:type="gram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espectro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THz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no contínuo para investigar a natureza dos mecanismos de emissão envolvidos. Os dados de explosões solares nas mais elevadas frequências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sub-THz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são disponíveis das observações realizadas no observatório de altitude de El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Leoncito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, realizadas em duas janelas de transmissão atmosférica (0.2 e 0.4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THz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). São insuficientes para descrever completamente a nova componente espectral das explosões. Para maiores progressos é necessário o conhecimento da radiação de explosões solares em frequências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THz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cujas observações devem ser realizadas fora da atmosfera terrestre. Nos anos recentes realizamos vários desenvolvimentos para a construção de radiômetros para explosões solares pare operar fora da atmosfera (i.e. em 3 e 7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THz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, o experimento SOLAR-T). Um protótipo operacional em laboratório permitiu a caracterização técnica de todos os subsistemas. Este utiliza detectores opto-acústicos (célula de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Golay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), filtro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passa-baixo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por reflexão em superfície rugosa (difusão de radiação), filtro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passa-baixo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a membranas, filtro passa-banda a malha metálica ressonante, acoplados a sistema ótico com abertura de 70 </w:t>
            </w:r>
            <w:proofErr w:type="gram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mm  para</w:t>
            </w:r>
            <w:proofErr w:type="gram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obter máxima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detectabilidade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das variações de temperatura devidas aos excessos de emissão por explosões. Propomos construir, integrar e testar o experimento SOLAR-T pare ser usado em duas extraordinárias oportunidades de voo em balões estratosféricos: </w:t>
            </w:r>
            <w:r w:rsidRPr="0076556A">
              <w:rPr>
                <w:rFonts w:ascii="Verdana" w:eastAsia="DejaVu Sans" w:hAnsi="Verdana" w:cs="Times New Roman"/>
                <w:i/>
                <w:sz w:val="20"/>
                <w:szCs w:val="20"/>
              </w:rPr>
              <w:t>Fase I</w:t>
            </w:r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, </w:t>
            </w:r>
            <w:proofErr w:type="gram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instalado  junto</w:t>
            </w:r>
            <w:proofErr w:type="gram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ao experimento de raios gama GRIPS do Space Science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Laboratory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, Universidade da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California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, Berkeley (um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vôo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de engenharia nos USA em 2012, e um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vôo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de longa duração – poucas semanas – na Antártica em 2013). </w:t>
            </w:r>
            <w:r w:rsidRPr="0076556A">
              <w:rPr>
                <w:rFonts w:ascii="Verdana" w:eastAsia="DejaVu Sans" w:hAnsi="Verdana" w:cs="Times New Roman"/>
                <w:i/>
                <w:sz w:val="20"/>
                <w:szCs w:val="20"/>
              </w:rPr>
              <w:t>Fase II</w:t>
            </w:r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, instalado em gondola independente para voo de longa duração (um voo de engenharia no </w:t>
            </w:r>
            <w:proofErr w:type="gram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Brasil  e</w:t>
            </w:r>
            <w:proofErr w:type="gram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voo de 7-12 dias sobre a Rússia em anos no período 2013-2016) em cooperação com o Instituto </w:t>
            </w:r>
            <w:proofErr w:type="spellStart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>Lebedev</w:t>
            </w:r>
            <w:proofErr w:type="spellEnd"/>
            <w:r w:rsidRPr="0076556A">
              <w:rPr>
                <w:rFonts w:ascii="Verdana" w:eastAsia="DejaVu Sans" w:hAnsi="Verdana" w:cs="Times New Roman"/>
                <w:sz w:val="20"/>
                <w:szCs w:val="20"/>
              </w:rPr>
              <w:t xml:space="preserve"> de Física de Moscou.</w:t>
            </w:r>
          </w:p>
        </w:tc>
      </w:tr>
      <w:tr w:rsidR="0076556A" w:rsidRPr="0076556A" w:rsidTr="0076556A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76556A" w:rsidRPr="0076556A" w:rsidRDefault="0076556A" w:rsidP="0076556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76556A" w:rsidRPr="0076556A" w:rsidRDefault="0076556A" w:rsidP="0076556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6556A">
              <w:rPr>
                <w:rFonts w:ascii="Verdana" w:hAnsi="Verdana" w:cs="Arial"/>
                <w:sz w:val="20"/>
                <w:szCs w:val="20"/>
              </w:rPr>
              <w:t>Categoria*</w:t>
            </w:r>
          </w:p>
        </w:tc>
      </w:tr>
      <w:tr w:rsidR="0076556A" w:rsidRPr="0076556A" w:rsidTr="0076556A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color w:val="00000A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Pierre </w:t>
            </w:r>
            <w:proofErr w:type="spellStart"/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Kaufmann</w:t>
            </w:r>
            <w:proofErr w:type="spellEnd"/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 (Líder)</w:t>
            </w:r>
          </w:p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 xml:space="preserve">Docente </w:t>
            </w:r>
          </w:p>
        </w:tc>
      </w:tr>
      <w:tr w:rsidR="0076556A" w:rsidRPr="0076556A" w:rsidTr="0076556A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Carlos Guillermo Gimenez de Castro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76556A" w:rsidRPr="0076556A" w:rsidTr="0076556A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lastRenderedPageBreak/>
              <w:t xml:space="preserve">Jean-Pierre </w:t>
            </w:r>
            <w:proofErr w:type="spellStart"/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Raulin</w:t>
            </w:r>
            <w:proofErr w:type="spellEnd"/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76556A" w:rsidRPr="0076556A" w:rsidTr="0076556A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Adriana Benetti Marques Válio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76556A" w:rsidRPr="0076556A" w:rsidTr="0076556A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Emília Correia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76556A" w:rsidRPr="0076556A" w:rsidTr="0076556A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76556A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Marta Cassiano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6556A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76556A" w:rsidRPr="0076556A" w:rsidTr="00765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76556A" w:rsidRPr="0076556A" w:rsidRDefault="0076556A" w:rsidP="0076556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6A"/>
    <w:rsid w:val="00222651"/>
    <w:rsid w:val="0076556A"/>
    <w:rsid w:val="00B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19F6-82CD-4607-897D-BF2FCA2D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556A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2</cp:revision>
  <dcterms:created xsi:type="dcterms:W3CDTF">2013-05-15T12:16:00Z</dcterms:created>
  <dcterms:modified xsi:type="dcterms:W3CDTF">2013-05-15T13:27:00Z</dcterms:modified>
</cp:coreProperties>
</file>